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BD99F" w14:textId="77777777" w:rsidR="00173358" w:rsidRDefault="00000000">
      <w:pPr>
        <w:rPr>
          <w:szCs w:val="24"/>
        </w:rPr>
      </w:pPr>
      <w:r>
        <w:rPr>
          <w:b/>
          <w:bCs/>
          <w:szCs w:val="24"/>
        </w:rPr>
        <w:t>Serviciul Buget-Contabilitate-Finanțe</w:t>
      </w:r>
      <w:r>
        <w:rPr>
          <w:szCs w:val="24"/>
        </w:rPr>
        <w:t xml:space="preserve"> </w:t>
      </w:r>
    </w:p>
    <w:p w14:paraId="3613B8CC" w14:textId="77777777" w:rsidR="00D75F22" w:rsidRDefault="00000000">
      <w:pPr>
        <w:rPr>
          <w:szCs w:val="24"/>
        </w:rPr>
      </w:pPr>
      <w:r>
        <w:rPr>
          <w:b/>
          <w:bCs/>
          <w:szCs w:val="24"/>
        </w:rPr>
        <w:t>Serviciul Administrație Publică Locală (APL)</w:t>
      </w:r>
      <w:r>
        <w:rPr>
          <w:szCs w:val="24"/>
        </w:rPr>
        <w:t xml:space="preserve"> </w:t>
      </w:r>
    </w:p>
    <w:p w14:paraId="1DB2ED16" w14:textId="4712C4C6" w:rsidR="001C0619" w:rsidRDefault="00000000">
      <w:r>
        <w:rPr>
          <w:b/>
          <w:bCs/>
          <w:szCs w:val="24"/>
        </w:rPr>
        <w:t>Compartimentul Transport</w:t>
      </w:r>
    </w:p>
    <w:p w14:paraId="743E140B" w14:textId="05C30C11" w:rsidR="001C0619" w:rsidRDefault="00000000">
      <w:pPr>
        <w:pStyle w:val="Corptext"/>
      </w:pPr>
      <w:r>
        <w:rPr>
          <w:szCs w:val="24"/>
        </w:rPr>
        <w:t xml:space="preserve">Nr. </w:t>
      </w:r>
      <w:r w:rsidR="00C4156A">
        <w:rPr>
          <w:szCs w:val="24"/>
        </w:rPr>
        <w:t>9042/28.05.2026</w:t>
      </w:r>
    </w:p>
    <w:p w14:paraId="0C93ECE6" w14:textId="77777777" w:rsidR="001C0619" w:rsidRDefault="00000000">
      <w:r>
        <w:rPr>
          <w:szCs w:val="24"/>
        </w:rPr>
        <w:pict w14:anchorId="1D4BCE13">
          <v:rect id="_x0000_i1025" style="width:0;height:1.5pt" o:hralign="center" o:hrstd="t" o:hr="t"/>
        </w:pict>
      </w:r>
    </w:p>
    <w:p w14:paraId="21F3F39F" w14:textId="77777777" w:rsidR="001C0619" w:rsidRDefault="00000000">
      <w:r>
        <w:rPr>
          <w:szCs w:val="24"/>
        </w:rPr>
        <w:t>În temeiul art. 136 alin. (8) lit. b) din OUG nr. 57/2019 privind Codul administrativ, cu modificările și completările ulterioare, compartimentele de specialitate din cadrul Primăriei Orașului Buziaș formulează prezentul:</w:t>
      </w:r>
    </w:p>
    <w:p w14:paraId="26D5D9DA" w14:textId="77777777" w:rsidR="001C0619" w:rsidRDefault="00000000">
      <w:r>
        <w:rPr>
          <w:szCs w:val="24"/>
        </w:rPr>
        <w:pict w14:anchorId="002D66CE">
          <v:rect id="_x0000_i1026" style="width:0;height:1.5pt" o:hralign="center" o:hrstd="t" o:hr="t"/>
        </w:pict>
      </w:r>
    </w:p>
    <w:p w14:paraId="751357C9" w14:textId="77777777" w:rsidR="001C0619" w:rsidRDefault="00000000">
      <w:pPr>
        <w:pStyle w:val="Titlu1"/>
      </w:pPr>
      <w:bookmarkStart w:id="0" w:name="raport-de-specialitate"/>
      <w:r>
        <w:rPr>
          <w:rFonts w:ascii="Times New Roman" w:eastAsia="Times New Roman" w:hAnsi="Times New Roman" w:cs="Times New Roman"/>
        </w:rPr>
        <w:t>RAPORT DE SPECIALITATE</w:t>
      </w:r>
    </w:p>
    <w:p w14:paraId="2AF09F86" w14:textId="625992C7" w:rsidR="00C4156A" w:rsidRDefault="00000000" w:rsidP="002F1EBF">
      <w:pPr>
        <w:jc w:val="center"/>
        <w:rPr>
          <w:szCs w:val="24"/>
        </w:rPr>
      </w:pPr>
      <w:r>
        <w:rPr>
          <w:szCs w:val="24"/>
        </w:rPr>
        <w:t xml:space="preserve">privind </w:t>
      </w:r>
      <w:r w:rsidR="00C4156A">
        <w:rPr>
          <w:szCs w:val="24"/>
        </w:rPr>
        <w:t>PROIECTUL DE HOTĂRÂRE nr. 37/9040/28.05.2026</w:t>
      </w:r>
    </w:p>
    <w:p w14:paraId="257F4F7F" w14:textId="1B28470B" w:rsidR="00711BA9" w:rsidRDefault="00460116" w:rsidP="002F1EBF">
      <w:pPr>
        <w:jc w:val="center"/>
        <w:rPr>
          <w:b/>
          <w:bCs/>
          <w:szCs w:val="24"/>
        </w:rPr>
      </w:pPr>
      <w:r>
        <w:rPr>
          <w:szCs w:val="24"/>
        </w:rPr>
        <w:t xml:space="preserve">privind </w:t>
      </w:r>
      <w:r w:rsidR="002F1EBF">
        <w:rPr>
          <w:szCs w:val="24"/>
        </w:rPr>
        <w:t xml:space="preserve">aprobarea </w:t>
      </w:r>
      <w:r w:rsidR="002F1EBF">
        <w:rPr>
          <w:b/>
          <w:bCs/>
          <w:szCs w:val="24"/>
        </w:rPr>
        <w:t xml:space="preserve">Studiului de oportunitate </w:t>
      </w:r>
    </w:p>
    <w:p w14:paraId="0FBD14C6" w14:textId="77777777" w:rsidR="00711BA9" w:rsidRDefault="002F1EBF" w:rsidP="002F1EBF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privind dezvoltarea sistemului de transport public local de călători </w:t>
      </w:r>
    </w:p>
    <w:p w14:paraId="06B0F700" w14:textId="2019902F" w:rsidR="002F1EBF" w:rsidRDefault="002F1EBF" w:rsidP="002F1EBF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la nivelul UAT Orașul Buziaș</w:t>
      </w:r>
    </w:p>
    <w:p w14:paraId="4E005F7D" w14:textId="77777777" w:rsidR="002F1EBF" w:rsidRDefault="002F1EBF" w:rsidP="002F1EBF">
      <w:pPr>
        <w:jc w:val="center"/>
      </w:pPr>
      <w:r>
        <w:rPr>
          <w:b/>
          <w:bCs/>
          <w:szCs w:val="24"/>
        </w:rPr>
        <w:t>-</w:t>
      </w:r>
      <w:r w:rsidRPr="00211539">
        <w:rPr>
          <w:b/>
          <w:bCs/>
          <w:szCs w:val="24"/>
        </w:rPr>
        <w:t>componenta urban – periurban intern cu microbuze electrice</w:t>
      </w:r>
      <w:r>
        <w:rPr>
          <w:b/>
          <w:bCs/>
          <w:szCs w:val="24"/>
        </w:rPr>
        <w:t>-</w:t>
      </w:r>
    </w:p>
    <w:p w14:paraId="021BA0D3" w14:textId="7F5C29DB" w:rsidR="002F1EBF" w:rsidRDefault="00000000" w:rsidP="002F1EBF">
      <w:r>
        <w:rPr>
          <w:szCs w:val="24"/>
        </w:rPr>
        <w:pict w14:anchorId="497ACA55">
          <v:rect id="_x0000_i1027" style="width:0;height:1.5pt" o:hralign="center" o:hrstd="t" o:hr="t"/>
        </w:pict>
      </w:r>
    </w:p>
    <w:p w14:paraId="78F57A38" w14:textId="5258A9AB" w:rsidR="001C0619" w:rsidRDefault="001C0619"/>
    <w:p w14:paraId="7C5E9FB1" w14:textId="77777777" w:rsidR="001C0619" w:rsidRDefault="00000000">
      <w:pPr>
        <w:pStyle w:val="Titlu2"/>
      </w:pPr>
      <w:bookmarkStart w:id="1" w:name="i.-obiectul-raportului"/>
      <w:r>
        <w:rPr>
          <w:rFonts w:ascii="Times New Roman" w:eastAsia="Times New Roman" w:hAnsi="Times New Roman" w:cs="Times New Roman"/>
        </w:rPr>
        <w:t>I. OBIECTUL RAPORTULUI</w:t>
      </w:r>
    </w:p>
    <w:p w14:paraId="5521490D" w14:textId="7812A8E7" w:rsidR="001C0619" w:rsidRDefault="00000000">
      <w:r>
        <w:rPr>
          <w:szCs w:val="24"/>
        </w:rPr>
        <w:t xml:space="preserve">Prin </w:t>
      </w:r>
      <w:r>
        <w:rPr>
          <w:b/>
          <w:bCs/>
          <w:szCs w:val="24"/>
        </w:rPr>
        <w:t xml:space="preserve">Referatul de aprobare nr. </w:t>
      </w:r>
      <w:r w:rsidR="00293C8B">
        <w:rPr>
          <w:b/>
          <w:bCs/>
          <w:szCs w:val="24"/>
        </w:rPr>
        <w:t>9041/28.05.2026</w:t>
      </w:r>
      <w:r>
        <w:rPr>
          <w:szCs w:val="24"/>
        </w:rPr>
        <w:t xml:space="preserve"> al inițiatorului — Primarul Orașului Buziaș, ec. Sorin MUNTEANU — s-a propus adoptarea unei hotărâri a Consiliului Local privind aprobarea Studiului de oportunitate privind dezvoltarea sistemului de transport public local de călători la nivelul UAT Orașul Buziaș.</w:t>
      </w:r>
    </w:p>
    <w:p w14:paraId="78FC6C62" w14:textId="77777777" w:rsidR="001C0619" w:rsidRDefault="00000000">
      <w:pPr>
        <w:pStyle w:val="Corptext"/>
      </w:pPr>
      <w:r>
        <w:rPr>
          <w:szCs w:val="24"/>
        </w:rPr>
        <w:t xml:space="preserve">Prezentul raport analizează </w:t>
      </w:r>
      <w:r>
        <w:rPr>
          <w:b/>
          <w:bCs/>
          <w:szCs w:val="24"/>
        </w:rPr>
        <w:t>legalitatea, oportunitatea și fundamentarea tehnico-economică</w:t>
      </w:r>
      <w:r>
        <w:rPr>
          <w:szCs w:val="24"/>
        </w:rPr>
        <w:t xml:space="preserve"> a proiectului de hotărâre, în conformitate cu art. 30 din Legea nr. 24/2000 privind normele de tehnică legislativă.</w:t>
      </w:r>
    </w:p>
    <w:p w14:paraId="06D6E4B1" w14:textId="77777777" w:rsidR="001C0619" w:rsidRDefault="00000000">
      <w:r>
        <w:rPr>
          <w:szCs w:val="24"/>
        </w:rPr>
        <w:pict w14:anchorId="30B1CF96">
          <v:rect id="_x0000_i1028" style="width:0;height:1.5pt" o:hralign="center" o:hrstd="t" o:hr="t"/>
        </w:pict>
      </w:r>
    </w:p>
    <w:p w14:paraId="7D0FFBCA" w14:textId="77777777" w:rsidR="001C0619" w:rsidRDefault="00000000">
      <w:pPr>
        <w:pStyle w:val="Titlu2"/>
      </w:pPr>
      <w:bookmarkStart w:id="2" w:name="ii.-temei-legal-exhaustiv"/>
      <w:bookmarkEnd w:id="1"/>
      <w:r>
        <w:rPr>
          <w:rFonts w:ascii="Times New Roman" w:eastAsia="Times New Roman" w:hAnsi="Times New Roman" w:cs="Times New Roman"/>
        </w:rPr>
        <w:t>II. TEMEI LEGAL EXHAUSTIV</w:t>
      </w:r>
    </w:p>
    <w:p w14:paraId="693B7C00" w14:textId="77777777" w:rsidR="001C0619" w:rsidRDefault="00000000">
      <w:pPr>
        <w:pStyle w:val="Titlu3"/>
      </w:pPr>
      <w:bookmarkStart w:id="3" w:name="X32787d3f25b75f0d628fa6af773c329b1f55d17"/>
      <w:r>
        <w:rPr>
          <w:rFonts w:ascii="Times New Roman" w:eastAsia="Times New Roman" w:hAnsi="Times New Roman" w:cs="Times New Roman"/>
        </w:rPr>
        <w:t>II.1. Drept primar internațional și european</w:t>
      </w:r>
    </w:p>
    <w:p w14:paraId="2A110383" w14:textId="77777777" w:rsidR="001C0619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Constituția României</w:t>
      </w:r>
      <w:r>
        <w:rPr>
          <w:szCs w:val="24"/>
        </w:rPr>
        <w:t>, republicată în M.Of. nr. 767 din 31 octombrie 2003 — art. 1 alin. (5), art. 120, art. 121, art. 136;</w:t>
      </w:r>
    </w:p>
    <w:p w14:paraId="69C08790" w14:textId="77777777" w:rsidR="001C0619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lastRenderedPageBreak/>
        <w:t>Carta Europeană a Autonomiei Locale</w:t>
      </w:r>
      <w:r>
        <w:rPr>
          <w:szCs w:val="24"/>
        </w:rPr>
        <w:t xml:space="preserve">, ratificată prin </w:t>
      </w:r>
      <w:r>
        <w:rPr>
          <w:b/>
          <w:bCs/>
          <w:szCs w:val="24"/>
        </w:rPr>
        <w:t>Legea nr. 199/1997</w:t>
      </w:r>
      <w:r>
        <w:rPr>
          <w:szCs w:val="24"/>
        </w:rPr>
        <w:t xml:space="preserve"> — art. 3, 4, 6, 8, 9;</w:t>
      </w:r>
    </w:p>
    <w:p w14:paraId="1A1D8A63" w14:textId="77777777" w:rsidR="001C0619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Regulamentul (CE) nr. 1370/2007</w:t>
      </w:r>
      <w:r>
        <w:rPr>
          <w:szCs w:val="24"/>
        </w:rPr>
        <w:t xml:space="preserve"> al Parlamentului European și al Consiliului din 23 octombrie 2007 privind serviciile publice de transport feroviar și rutier de călători, cu modificările aduse prin Reg. (UE) 2016/2338 — în special art. 5 alin. (2) și (4), art. 7 (obligația de transparență ex-ante).</w:t>
      </w:r>
    </w:p>
    <w:p w14:paraId="7A52C117" w14:textId="77777777" w:rsidR="001C0619" w:rsidRDefault="00000000">
      <w:pPr>
        <w:pStyle w:val="Titlu3"/>
      </w:pPr>
      <w:bookmarkStart w:id="4" w:name="ii.2.-cadrul-legislativ-național"/>
      <w:bookmarkEnd w:id="3"/>
      <w:r>
        <w:rPr>
          <w:rFonts w:ascii="Times New Roman" w:eastAsia="Times New Roman" w:hAnsi="Times New Roman" w:cs="Times New Roman"/>
        </w:rPr>
        <w:t>II.2. Cadrul legislativ național</w:t>
      </w:r>
    </w:p>
    <w:p w14:paraId="53C69A59" w14:textId="77777777" w:rsidR="001C0619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OUG nr. 57/2019 privind Codul administrativ</w:t>
      </w:r>
      <w:r>
        <w:rPr>
          <w:szCs w:val="24"/>
        </w:rPr>
        <w:t xml:space="preserve"> — art. 92, 95-101, 108-110, 129 alin. (2) lit. d) și alin. (7) lit. n), 132, 136, 139 alin. (3) lit. c), 140, 196-200, 243, 255;</w:t>
      </w:r>
    </w:p>
    <w:p w14:paraId="051C2014" w14:textId="77777777" w:rsidR="001C0619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serviciilor comunitare de utilități publice nr. 51/2006</w:t>
      </w:r>
      <w:r>
        <w:rPr>
          <w:szCs w:val="24"/>
        </w:rPr>
        <w:t xml:space="preserve">, republicată — art. 1 alin. (2) lit. h), art. 3, 7, 8 alin. (3) lit. d), </w:t>
      </w:r>
      <w:r>
        <w:rPr>
          <w:b/>
          <w:bCs/>
          <w:szCs w:val="24"/>
        </w:rPr>
        <w:t>art. 22 alin. (3)</w:t>
      </w:r>
      <w:r>
        <w:rPr>
          <w:szCs w:val="24"/>
        </w:rPr>
        <w:t xml:space="preserve"> (temei direct pentru Studiul de Oportunitate), art. 23, 29, 30, 43;</w:t>
      </w:r>
    </w:p>
    <w:p w14:paraId="23074748" w14:textId="77777777" w:rsidR="001C0619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serviciilor publice de transport persoane nr. 92/2007</w:t>
      </w:r>
      <w:r>
        <w:rPr>
          <w:szCs w:val="24"/>
        </w:rPr>
        <w:t xml:space="preserve"> — art. 1 alin. (4), art. 16 alin. (4)-(7), </w:t>
      </w:r>
      <w:r>
        <w:rPr>
          <w:b/>
          <w:bCs/>
          <w:szCs w:val="24"/>
        </w:rPr>
        <w:t>art. 17 alin. (1) lit. d)</w:t>
      </w:r>
      <w:r>
        <w:rPr>
          <w:szCs w:val="24"/>
        </w:rPr>
        <w:t xml:space="preserve"> (temei direct), art. 21, 22^1, </w:t>
      </w:r>
      <w:r>
        <w:rPr>
          <w:b/>
          <w:bCs/>
          <w:szCs w:val="24"/>
        </w:rPr>
        <w:t>art. 23</w:t>
      </w:r>
      <w:r>
        <w:rPr>
          <w:szCs w:val="24"/>
        </w:rPr>
        <w:t xml:space="preserve"> (al doilea temei), art. 28, 43;</w:t>
      </w:r>
    </w:p>
    <w:p w14:paraId="6946487B" w14:textId="77777777" w:rsidR="001C0619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nr. 273/2006 privind finanțele publice locale</w:t>
      </w:r>
      <w:r>
        <w:rPr>
          <w:szCs w:val="24"/>
        </w:rPr>
        <w:t xml:space="preserve"> — art. 35;</w:t>
      </w:r>
    </w:p>
    <w:p w14:paraId="485780C8" w14:textId="77777777" w:rsidR="001C0619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nr. 287/2009 privind Codul civil</w:t>
      </w:r>
      <w:r>
        <w:rPr>
          <w:szCs w:val="24"/>
        </w:rPr>
        <w:t>, republicată — art. 7 alin. (2), art. 858-866;</w:t>
      </w:r>
    </w:p>
    <w:p w14:paraId="5FF45A49" w14:textId="77777777" w:rsidR="001C0619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nr. 24/2000 privind normele de tehnică legislativă</w:t>
      </w:r>
      <w:r>
        <w:rPr>
          <w:szCs w:val="24"/>
        </w:rPr>
        <w:t xml:space="preserve"> — art. 30, 40-58, 80-84;</w:t>
      </w:r>
    </w:p>
    <w:p w14:paraId="3C38965C" w14:textId="77777777" w:rsidR="001C0619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nr. 52/2003 privind transparența decizională</w:t>
      </w:r>
      <w:r>
        <w:rPr>
          <w:szCs w:val="24"/>
        </w:rPr>
        <w:t xml:space="preserve"> — art. 4-7;</w:t>
      </w:r>
    </w:p>
    <w:p w14:paraId="61ED1A37" w14:textId="77777777" w:rsidR="001C0619" w:rsidRDefault="00000000">
      <w:pPr>
        <w:numPr>
          <w:ilvl w:val="0"/>
          <w:numId w:val="12"/>
        </w:numPr>
      </w:pPr>
      <w:r>
        <w:rPr>
          <w:b/>
          <w:bCs/>
          <w:szCs w:val="24"/>
        </w:rPr>
        <w:t>Legea concurenței nr. 21/1996</w:t>
      </w:r>
      <w:r>
        <w:rPr>
          <w:szCs w:val="24"/>
        </w:rPr>
        <w:t>, republicată — art. 25 alin. (1) lit. l) și alin. (3).</w:t>
      </w:r>
    </w:p>
    <w:p w14:paraId="6013A52B" w14:textId="77777777" w:rsidR="001C0619" w:rsidRDefault="00000000">
      <w:pPr>
        <w:pStyle w:val="Titlu3"/>
      </w:pPr>
      <w:bookmarkStart w:id="5" w:name="ii.3.-reglementare-sectorială"/>
      <w:bookmarkEnd w:id="4"/>
      <w:r>
        <w:rPr>
          <w:rFonts w:ascii="Times New Roman" w:eastAsia="Times New Roman" w:hAnsi="Times New Roman" w:cs="Times New Roman"/>
        </w:rPr>
        <w:t>II.3. Reglementare sectorială</w:t>
      </w:r>
    </w:p>
    <w:p w14:paraId="6CB43FC1" w14:textId="77777777" w:rsidR="001C0619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ANRSC nr. 272/2007</w:t>
      </w:r>
      <w:r>
        <w:rPr>
          <w:szCs w:val="24"/>
        </w:rPr>
        <w:t xml:space="preserve"> (norme-cadru tarife) — actualizat prin Ord. 134/2019 și Ord. 634/2022;</w:t>
      </w:r>
    </w:p>
    <w:p w14:paraId="59FEC6D9" w14:textId="77777777" w:rsidR="001C0619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ANRSC nr. 206/2007</w:t>
      </w:r>
      <w:r>
        <w:rPr>
          <w:szCs w:val="24"/>
        </w:rPr>
        <w:t xml:space="preserve"> (autorizare autorități de autorizare) — actualizat prin Ord. 132/2019;</w:t>
      </w:r>
    </w:p>
    <w:p w14:paraId="1E1F56DD" w14:textId="77777777" w:rsidR="001C0619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ANRSC nr. 207/2007</w:t>
      </w:r>
      <w:r>
        <w:rPr>
          <w:szCs w:val="24"/>
        </w:rPr>
        <w:t xml:space="preserve"> (regulament-cadru autorizații de transport);</w:t>
      </w:r>
    </w:p>
    <w:p w14:paraId="33542292" w14:textId="77777777" w:rsidR="001C0619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MIRA nr. 972/2007</w:t>
      </w:r>
      <w:r>
        <w:rPr>
          <w:szCs w:val="24"/>
        </w:rPr>
        <w:t xml:space="preserve"> (regulament-cadru + caiet-cadru transport public local);</w:t>
      </w:r>
    </w:p>
    <w:p w14:paraId="3DBEFD0D" w14:textId="77777777" w:rsidR="001C0619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Ordinul comun ANRSC + ANAP nr. 131/1.401/2019</w:t>
      </w:r>
      <w:r>
        <w:rPr>
          <w:szCs w:val="24"/>
        </w:rPr>
        <w:t xml:space="preserve"> (documente standard și contract-cadru de delegare);</w:t>
      </w:r>
    </w:p>
    <w:p w14:paraId="62FEB689" w14:textId="77777777" w:rsidR="001C0619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HG nr. 855/2008</w:t>
      </w:r>
      <w:r>
        <w:rPr>
          <w:szCs w:val="24"/>
        </w:rPr>
        <w:t xml:space="preserve"> (statut-cadru ADI servicii utilități publice);</w:t>
      </w:r>
    </w:p>
    <w:p w14:paraId="60AD854D" w14:textId="77777777" w:rsidR="001C0619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HG nr. 877/2018</w:t>
      </w:r>
      <w:r>
        <w:rPr>
          <w:szCs w:val="24"/>
        </w:rPr>
        <w:t xml:space="preserve"> (Strategia Națională Dezvoltare Durabilă România 2030 — ODD 11, 9, 13);</w:t>
      </w:r>
    </w:p>
    <w:p w14:paraId="7BDFCB83" w14:textId="77777777" w:rsidR="001C0619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HG nr. 1364/2006</w:t>
      </w:r>
      <w:r>
        <w:rPr>
          <w:szCs w:val="24"/>
        </w:rPr>
        <w:t xml:space="preserve"> (drepturi donatori sânge — reducere 50% transport public).</w:t>
      </w:r>
    </w:p>
    <w:p w14:paraId="538F5A0C" w14:textId="77777777" w:rsidR="001C0619" w:rsidRDefault="00000000">
      <w:pPr>
        <w:pStyle w:val="Titlu3"/>
      </w:pPr>
      <w:bookmarkStart w:id="6" w:name="X3806ab800be62353d13da601271fddd439d915b"/>
      <w:bookmarkEnd w:id="5"/>
      <w:r>
        <w:rPr>
          <w:rFonts w:ascii="Times New Roman" w:eastAsia="Times New Roman" w:hAnsi="Times New Roman" w:cs="Times New Roman"/>
        </w:rPr>
        <w:t>II.4. Cadru asociativ și hotărâri locale anterioare</w:t>
      </w:r>
    </w:p>
    <w:p w14:paraId="3D7E6922" w14:textId="77777777" w:rsidR="001C0619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Statutul ADI „Societatea Metropolitană de Transport Timișoara — TRANSTIMIȘ”</w:t>
      </w:r>
      <w:r>
        <w:rPr>
          <w:szCs w:val="24"/>
        </w:rPr>
        <w:t xml:space="preserve"> (forma consolidată 19.03.2025);</w:t>
      </w:r>
    </w:p>
    <w:p w14:paraId="359410F9" w14:textId="77777777" w:rsidR="001C0619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HCL Buziaș nr. 34/30.06.2025</w:t>
      </w:r>
      <w:r>
        <w:rPr>
          <w:szCs w:val="24"/>
        </w:rPr>
        <w:t xml:space="preserve"> privind aderarea la ADI TRANSTIMIȘ;</w:t>
      </w:r>
    </w:p>
    <w:p w14:paraId="0C5BEF36" w14:textId="77777777" w:rsidR="001C0619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HCL Buziaș nr. 14/23.03.2026</w:t>
      </w:r>
      <w:r>
        <w:rPr>
          <w:szCs w:val="24"/>
        </w:rPr>
        <w:t xml:space="preserve"> privind atribuirea gestiunii prin ADI;</w:t>
      </w:r>
    </w:p>
    <w:p w14:paraId="3DF49A6C" w14:textId="77777777" w:rsidR="001C0619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HCL Buziaș nr. 15/23.03.2026</w:t>
      </w:r>
      <w:r>
        <w:rPr>
          <w:szCs w:val="24"/>
        </w:rPr>
        <w:t xml:space="preserve"> privind acordarea mandatului ADI TRANSTIMIȘ;</w:t>
      </w:r>
    </w:p>
    <w:p w14:paraId="6BD4F6BA" w14:textId="77777777" w:rsidR="001C0619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HCL Buziaș nr. 16/23.03.2026</w:t>
      </w:r>
      <w:r>
        <w:rPr>
          <w:szCs w:val="24"/>
        </w:rPr>
        <w:t xml:space="preserve"> privind aprobarea Studiului de oportunitate și a contractelor ADI;</w:t>
      </w:r>
    </w:p>
    <w:p w14:paraId="640A2113" w14:textId="77777777" w:rsidR="001C0619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Pachetul HCL în adoptare</w:t>
      </w:r>
      <w:r>
        <w:rPr>
          <w:szCs w:val="24"/>
        </w:rPr>
        <w:t xml:space="preserve"> din 20.05.2026 (aderare comune, modificare contracte, politică tarifară).</w:t>
      </w:r>
    </w:p>
    <w:p w14:paraId="73A3B821" w14:textId="77777777" w:rsidR="001C0619" w:rsidRDefault="00000000">
      <w:r>
        <w:rPr>
          <w:szCs w:val="24"/>
        </w:rPr>
        <w:pict w14:anchorId="307579D8">
          <v:rect id="_x0000_i1029" style="width:0;height:1.5pt" o:hralign="center" o:hrstd="t" o:hr="t"/>
        </w:pict>
      </w:r>
    </w:p>
    <w:p w14:paraId="6ADBCF35" w14:textId="77777777" w:rsidR="001C0619" w:rsidRDefault="00000000">
      <w:pPr>
        <w:pStyle w:val="Titlu2"/>
      </w:pPr>
      <w:bookmarkStart w:id="7" w:name="iii.-analiza-tehnico-juridică"/>
      <w:bookmarkEnd w:id="2"/>
      <w:bookmarkEnd w:id="6"/>
      <w:r>
        <w:rPr>
          <w:rFonts w:ascii="Times New Roman" w:eastAsia="Times New Roman" w:hAnsi="Times New Roman" w:cs="Times New Roman"/>
        </w:rPr>
        <w:t>III. ANALIZA TEHNICO-JURIDICĂ</w:t>
      </w:r>
    </w:p>
    <w:p w14:paraId="0DA922F6" w14:textId="77777777" w:rsidR="001C0619" w:rsidRDefault="00000000">
      <w:pPr>
        <w:pStyle w:val="Titlu3"/>
      </w:pPr>
      <w:bookmarkStart w:id="8" w:name="iii.1.-competența-consiliului-local"/>
      <w:r>
        <w:rPr>
          <w:rFonts w:ascii="Times New Roman" w:eastAsia="Times New Roman" w:hAnsi="Times New Roman" w:cs="Times New Roman"/>
        </w:rPr>
        <w:t>III.1. Competența Consiliului Local</w:t>
      </w:r>
    </w:p>
    <w:p w14:paraId="2CAEF0D7" w14:textId="77777777" w:rsidR="001C0619" w:rsidRDefault="00000000">
      <w:r>
        <w:rPr>
          <w:szCs w:val="24"/>
        </w:rPr>
        <w:t xml:space="preserve">Conform </w:t>
      </w:r>
      <w:r>
        <w:rPr>
          <w:b/>
          <w:bCs/>
          <w:szCs w:val="24"/>
        </w:rPr>
        <w:t>art. 17 alin. (1) lit. d) din Legea nr. 92/2007</w:t>
      </w:r>
      <w:r>
        <w:rPr>
          <w:szCs w:val="24"/>
        </w:rPr>
        <w:t xml:space="preserve">, aprobarea studiilor de oportunitate intră în atribuțiile exclusive ale Consiliului Local, coroborate cu </w:t>
      </w:r>
      <w:r>
        <w:rPr>
          <w:b/>
          <w:bCs/>
          <w:szCs w:val="24"/>
        </w:rPr>
        <w:t>art. 8 alin. (3) lit. d) din Legea nr. 51/2006</w:t>
      </w:r>
      <w:r>
        <w:rPr>
          <w:szCs w:val="24"/>
        </w:rPr>
        <w:t xml:space="preserve">, care prevede atribuția de „alegere a modalității de gestiune a serviciilor […] pe baza unui studiu de oportunitate” și cu </w:t>
      </w:r>
      <w:r>
        <w:rPr>
          <w:b/>
          <w:bCs/>
          <w:szCs w:val="24"/>
        </w:rPr>
        <w:t>art. 129 alin. (2) lit. d) și alin. (7) lit. n) din OUG nr. 57/2019</w:t>
      </w:r>
      <w:r>
        <w:rPr>
          <w:szCs w:val="24"/>
        </w:rPr>
        <w:t xml:space="preserve"> (atribuția privind gestionarea serviciilor publice comunitare de utilități publice — transport public local).</w:t>
      </w:r>
    </w:p>
    <w:p w14:paraId="4E5A27CB" w14:textId="77777777" w:rsidR="001C0619" w:rsidRDefault="00000000">
      <w:pPr>
        <w:pStyle w:val="Titlu3"/>
      </w:pPr>
      <w:bookmarkStart w:id="9" w:name="X2d3997950302e3f0cf5c09b1820b58c250dbdae"/>
      <w:bookmarkEnd w:id="8"/>
      <w:r>
        <w:rPr>
          <w:rFonts w:ascii="Times New Roman" w:eastAsia="Times New Roman" w:hAnsi="Times New Roman" w:cs="Times New Roman"/>
        </w:rPr>
        <w:t>III.2. Conținutul minimal al Studiului de oportunitate</w:t>
      </w:r>
    </w:p>
    <w:p w14:paraId="73B57FB8" w14:textId="77777777" w:rsidR="001C0619" w:rsidRDefault="00000000">
      <w:r>
        <w:rPr>
          <w:szCs w:val="24"/>
        </w:rPr>
        <w:t>Studiul de oportunitate elaborat respectă conținutul minimal derivat din art. 22 alin. (3) din Legea nr. 51/2006:</w:t>
      </w:r>
    </w:p>
    <w:p w14:paraId="14F1A20B" w14:textId="77777777" w:rsidR="001C0619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Descrierea serviciului</w:t>
      </w:r>
      <w:r>
        <w:rPr>
          <w:szCs w:val="24"/>
        </w:rPr>
        <w:t xml:space="preserve"> — rețea, flotă propusă, utilizatori (8.402 locuitori + aflux turistic);</w:t>
      </w:r>
    </w:p>
    <w:p w14:paraId="14E23E90" w14:textId="77777777" w:rsidR="001C0619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Diagnoza situației actuale</w:t>
      </w:r>
      <w:r>
        <w:rPr>
          <w:szCs w:val="24"/>
        </w:rPr>
        <w:t xml:space="preserve"> — natura și starea serviciului existent;</w:t>
      </w:r>
    </w:p>
    <w:p w14:paraId="4686E77D" w14:textId="77777777" w:rsidR="001C0619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Analiza alternativelor de gestiune</w:t>
      </w:r>
      <w:r>
        <w:rPr>
          <w:szCs w:val="24"/>
        </w:rPr>
        <w:t xml:space="preserve"> — directă vs. delegată (cu submodalități: operator intern, operator privat, delegare prin ADI);</w:t>
      </w:r>
    </w:p>
    <w:p w14:paraId="406B83B2" w14:textId="77777777" w:rsidR="001C0619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Analiza preț/calitate</w:t>
      </w:r>
      <w:r>
        <w:rPr>
          <w:szCs w:val="24"/>
        </w:rPr>
        <w:t xml:space="preserve"> pentru fiecare alternativă, conform metodologiei Ord. ANRSC 272/2007 (Anexa 1 — structura cheltuielilor);</w:t>
      </w:r>
    </w:p>
    <w:p w14:paraId="77A822F8" w14:textId="77777777" w:rsidR="001C0619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Interesul actual și de perspectivă</w:t>
      </w:r>
      <w:r>
        <w:rPr>
          <w:szCs w:val="24"/>
        </w:rPr>
        <w:t xml:space="preserve"> — integrare în PMUD Buziaș (referință document PMUD final disponibil) și Strategia ADI TRANSTIMIȘ;</w:t>
      </w:r>
    </w:p>
    <w:p w14:paraId="08528619" w14:textId="77777777" w:rsidR="001C0619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Mărimea și complexitatea sistemului</w:t>
      </w:r>
      <w:r>
        <w:rPr>
          <w:szCs w:val="24"/>
        </w:rPr>
        <w:t xml:space="preserve"> — caracterizare oraș-stațiune balneară de interes național;</w:t>
      </w:r>
    </w:p>
    <w:p w14:paraId="60EF2640" w14:textId="77777777" w:rsidR="001C0619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Concluzie motivată</w:t>
      </w:r>
      <w:r>
        <w:rPr>
          <w:szCs w:val="24"/>
        </w:rPr>
        <w:t xml:space="preserve"> — recomandare gestiune delegată prin ADI TRANSTIMIȘ;</w:t>
      </w:r>
    </w:p>
    <w:p w14:paraId="519B55CB" w14:textId="77777777" w:rsidR="001C0619" w:rsidRDefault="00000000">
      <w:pPr>
        <w:numPr>
          <w:ilvl w:val="0"/>
          <w:numId w:val="15"/>
        </w:numPr>
      </w:pPr>
      <w:r>
        <w:rPr>
          <w:b/>
          <w:bCs/>
          <w:szCs w:val="24"/>
        </w:rPr>
        <w:t>Aliniere PNRR C10</w:t>
      </w:r>
      <w:r>
        <w:rPr>
          <w:szCs w:val="24"/>
        </w:rPr>
        <w:t xml:space="preserve"> — Fondul local, Investițiile I.1.1 — I.1.4 (transport ecologic).</w:t>
      </w:r>
    </w:p>
    <w:p w14:paraId="4F371FD7" w14:textId="77777777" w:rsidR="001C0619" w:rsidRDefault="00000000">
      <w:pPr>
        <w:pStyle w:val="Titlu3"/>
      </w:pPr>
      <w:bookmarkStart w:id="10" w:name="Xfe6247f7e91adec80f8fe485df6a8fb7e3243c4"/>
      <w:bookmarkEnd w:id="9"/>
      <w:r>
        <w:rPr>
          <w:rFonts w:ascii="Times New Roman" w:eastAsia="Times New Roman" w:hAnsi="Times New Roman" w:cs="Times New Roman"/>
        </w:rPr>
        <w:t>III.3. Conformitate cu Regulamentul (CE) nr. 1370/2007</w:t>
      </w:r>
    </w:p>
    <w:p w14:paraId="10CD65CE" w14:textId="77777777" w:rsidR="001C0619" w:rsidRDefault="00000000">
      <w:r>
        <w:rPr>
          <w:szCs w:val="24"/>
        </w:rPr>
        <w:t>Studiul argumentează:</w:t>
      </w:r>
    </w:p>
    <w:p w14:paraId="32C75C7D" w14:textId="77777777" w:rsidR="001C0619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calitatea de SIEG</w:t>
      </w:r>
      <w:r>
        <w:rPr>
          <w:szCs w:val="24"/>
        </w:rPr>
        <w:t xml:space="preserve"> (Serviciu de Interes Economic General) — art. 7 din Legea nr. 51/2006 coroborat cu Reg. (CE) 1370/2007;</w:t>
      </w:r>
    </w:p>
    <w:p w14:paraId="2533FA48" w14:textId="0E60E4EC" w:rsidR="001C0619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obligația de transparență ex-ante</w:t>
      </w:r>
      <w:r>
        <w:rPr>
          <w:szCs w:val="24"/>
        </w:rPr>
        <w:t xml:space="preserve"> (art. 7 din Regulament) </w:t>
      </w:r>
    </w:p>
    <w:p w14:paraId="561571F3" w14:textId="77777777" w:rsidR="001C0619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mecanismul de compensare</w:t>
      </w:r>
      <w:r>
        <w:rPr>
          <w:szCs w:val="24"/>
        </w:rPr>
        <w:t xml:space="preserve"> — formula CSP (compensație serviciu public), conform Anexei la Regulament;</w:t>
      </w:r>
    </w:p>
    <w:p w14:paraId="0FC1504C" w14:textId="77777777" w:rsidR="001C0619" w:rsidRDefault="00000000">
      <w:pPr>
        <w:numPr>
          <w:ilvl w:val="0"/>
          <w:numId w:val="16"/>
        </w:numPr>
      </w:pPr>
      <w:r>
        <w:rPr>
          <w:b/>
          <w:bCs/>
          <w:szCs w:val="24"/>
        </w:rPr>
        <w:t>durata contractului</w:t>
      </w:r>
      <w:r>
        <w:rPr>
          <w:szCs w:val="24"/>
        </w:rPr>
        <w:t xml:space="preserve"> — 6 ani pentru autobuze/microbuze, conform art. 28 alin. (1) lit. a) din Legea nr. 92/2007, cu posibilitate extindere la 10 ani în condițiile alin. (2) (investiții PNRR).</w:t>
      </w:r>
    </w:p>
    <w:p w14:paraId="06321EFF" w14:textId="77777777" w:rsidR="001C0619" w:rsidRDefault="00000000">
      <w:pPr>
        <w:pStyle w:val="Titlu3"/>
      </w:pPr>
      <w:bookmarkStart w:id="11" w:name="X4c86a9625dc5c77f604efc2730cef92081c4800"/>
      <w:bookmarkEnd w:id="10"/>
      <w:r>
        <w:rPr>
          <w:rFonts w:ascii="Times New Roman" w:eastAsia="Times New Roman" w:hAnsi="Times New Roman" w:cs="Times New Roman"/>
        </w:rPr>
        <w:t>III.4. Aviz Consiliul Concurenței — OBLIGATORIU</w:t>
      </w:r>
    </w:p>
    <w:p w14:paraId="4BDBD6A1" w14:textId="77777777" w:rsidR="001C0619" w:rsidRDefault="00000000">
      <w:r>
        <w:rPr>
          <w:szCs w:val="24"/>
        </w:rPr>
        <w:t xml:space="preserve">Consiliul Concurenței exercită, în calitate de autoritate națională de concurență, atribuțiile prevăzute de </w:t>
      </w:r>
      <w:r>
        <w:rPr>
          <w:b/>
          <w:bCs/>
          <w:szCs w:val="24"/>
        </w:rPr>
        <w:t>Legea concurenței nr. 21/1996</w:t>
      </w:r>
      <w:r>
        <w:rPr>
          <w:szCs w:val="24"/>
        </w:rPr>
        <w:t xml:space="preserve">, republicată. Conform </w:t>
      </w:r>
      <w:r>
        <w:rPr>
          <w:b/>
          <w:bCs/>
          <w:szCs w:val="24"/>
        </w:rPr>
        <w:t>art. 25 alin. (1) lit. l) coroborat cu alin. (3)</w:t>
      </w:r>
      <w:r>
        <w:rPr>
          <w:szCs w:val="24"/>
        </w:rPr>
        <w:t>: „… autoritățile și instituțiile administrației publice centrale și locale au obligația să solicite avize sau puncte de vedere atunci când inițiază proiecte de acte normative […] care pot avea impact anticoncurențial. Observațiile și propunerile formulate în avizul sau punctul de vedere al Consiliului Concurenței vor fi avute în vedere la definitivarea proiectului de act normativ …“.</w:t>
      </w:r>
    </w:p>
    <w:p w14:paraId="4BC5CEF5" w14:textId="77777777" w:rsidR="001C0619" w:rsidRDefault="00000000">
      <w:pPr>
        <w:pStyle w:val="Corptext"/>
      </w:pPr>
      <w:r>
        <w:rPr>
          <w:szCs w:val="24"/>
        </w:rPr>
        <w:t xml:space="preserve">Compensația sau subvenționarea serviciului public de transport fiind susceptibile a fi de natura ajutoarelor de stat (conform art. 107 TFUE și jurisprudenței Altmark Trans), </w:t>
      </w:r>
      <w:r>
        <w:rPr>
          <w:b/>
          <w:bCs/>
          <w:szCs w:val="24"/>
        </w:rPr>
        <w:t>se va solicita avizul/punctul de vedere al Consiliului Concurenței</w:t>
      </w:r>
      <w:r>
        <w:rPr>
          <w:szCs w:val="24"/>
        </w:rPr>
        <w:t xml:space="preserve"> anterior adoptării HCL, în conformitate cu obligația prevăzută expres de Legea nr. 21/1996.</w:t>
      </w:r>
    </w:p>
    <w:p w14:paraId="7EA15921" w14:textId="77777777" w:rsidR="001C0619" w:rsidRDefault="00000000">
      <w:pPr>
        <w:pStyle w:val="Titlu3"/>
      </w:pPr>
      <w:bookmarkStart w:id="12" w:name="X27c059cfa609daf1d827ffb630d289a380e97f3"/>
      <w:bookmarkEnd w:id="11"/>
      <w:r>
        <w:rPr>
          <w:rFonts w:ascii="Times New Roman" w:eastAsia="Times New Roman" w:hAnsi="Times New Roman" w:cs="Times New Roman"/>
        </w:rPr>
        <w:t>III.5. Durata și încadrarea juridică a contractului Grupa 3 TRANSTIMIȘ</w:t>
      </w:r>
    </w:p>
    <w:p w14:paraId="0EE535D0" w14:textId="77777777" w:rsidR="001C0619" w:rsidRDefault="00000000">
      <w:r>
        <w:rPr>
          <w:szCs w:val="24"/>
        </w:rPr>
        <w:t xml:space="preserve">Contractul de delegare Grupa 3 (semnat 31.03.2026, cu Act adițional nr. 1 din aceeași dată), pentru operare cu microbuze, se încadrează în categoria „autobuze” — conform definiției din Reg. (CE) 1370/2007 și OG nr. 27/2011 (vehicul rutier cu peste 9 locuri, inclusiv șofer) — și se conformează limitei de </w:t>
      </w:r>
      <w:r>
        <w:rPr>
          <w:b/>
          <w:bCs/>
          <w:szCs w:val="24"/>
        </w:rPr>
        <w:t>6 ani</w:t>
      </w:r>
      <w:r>
        <w:rPr>
          <w:szCs w:val="24"/>
        </w:rPr>
        <w:t xml:space="preserve"> prevăzute de art. 28 alin. (1) lit. a) din Legea nr. 92/2007, cu posibilitate de extindere la 10 ani conform alin. (2) în cazul investițiilor majore din programe europene (PNRR).</w:t>
      </w:r>
    </w:p>
    <w:p w14:paraId="0A4E128E" w14:textId="7F1E11CC" w:rsidR="001C0619" w:rsidRDefault="00000000">
      <w:pPr>
        <w:pStyle w:val="Titlu3"/>
      </w:pPr>
      <w:bookmarkStart w:id="13" w:name="X044ce0873a9e76d324f1f6330f4c2967f1a30cd"/>
      <w:bookmarkEnd w:id="12"/>
      <w:r>
        <w:rPr>
          <w:rFonts w:ascii="Times New Roman" w:eastAsia="Times New Roman" w:hAnsi="Times New Roman" w:cs="Times New Roman"/>
        </w:rPr>
        <w:t xml:space="preserve">III.6. Conformitate cu Ord. comun ANRSC </w:t>
      </w:r>
      <w:r w:rsidR="00722930">
        <w:rPr>
          <w:rFonts w:ascii="Times New Roman" w:eastAsia="Times New Roman" w:hAnsi="Times New Roman" w:cs="Times New Roman"/>
        </w:rPr>
        <w:t>și</w:t>
      </w:r>
      <w:r>
        <w:rPr>
          <w:rFonts w:ascii="Times New Roman" w:eastAsia="Times New Roman" w:hAnsi="Times New Roman" w:cs="Times New Roman"/>
        </w:rPr>
        <w:t xml:space="preserve"> ANAP nr. 131/1.401/2019</w:t>
      </w:r>
    </w:p>
    <w:p w14:paraId="2AC6A268" w14:textId="3F9DBC9D" w:rsidR="001C0619" w:rsidRDefault="00000000" w:rsidP="00722930">
      <w:r>
        <w:rPr>
          <w:szCs w:val="24"/>
        </w:rPr>
        <w:t xml:space="preserve">Studiul de oportunitate prevede expres aplicarea Ordinului 131/1.401/2019 ca act de referință pentru documentele standard de atribuire și contractul-cadru de delegare, cu cele 18 anexe (Anexa 1 — Programul de transport, Anexa 6 — formula CSP, Anexa 9 — tarife, Anexa 11 — decontarea diferențelor de tarif etc.). </w:t>
      </w:r>
    </w:p>
    <w:p w14:paraId="21514760" w14:textId="77777777" w:rsidR="001C0619" w:rsidRDefault="00000000">
      <w:pPr>
        <w:pStyle w:val="Titlu2"/>
      </w:pPr>
      <w:bookmarkStart w:id="14" w:name="iv.-analiza-impactului-bugetar"/>
      <w:bookmarkEnd w:id="7"/>
      <w:bookmarkEnd w:id="13"/>
      <w:r>
        <w:rPr>
          <w:rFonts w:ascii="Times New Roman" w:eastAsia="Times New Roman" w:hAnsi="Times New Roman" w:cs="Times New Roman"/>
        </w:rPr>
        <w:t>IV. ANALIZA IMPACTULUI BUGETAR</w:t>
      </w:r>
    </w:p>
    <w:p w14:paraId="462BEE50" w14:textId="77777777" w:rsidR="001C0619" w:rsidRDefault="00000000">
      <w:pPr>
        <w:pStyle w:val="Titlu3"/>
      </w:pPr>
      <w:bookmarkStart w:id="15" w:name="iv.1.-cheltuieli-previzionate"/>
      <w:r>
        <w:rPr>
          <w:rFonts w:ascii="Times New Roman" w:eastAsia="Times New Roman" w:hAnsi="Times New Roman" w:cs="Times New Roman"/>
        </w:rPr>
        <w:t>IV.1. Cheltuieli previzionate</w:t>
      </w:r>
    </w:p>
    <w:p w14:paraId="1E6254FF" w14:textId="77777777" w:rsidR="001C0619" w:rsidRDefault="00000000">
      <w:r>
        <w:rPr>
          <w:szCs w:val="24"/>
        </w:rPr>
        <w:t xml:space="preserve">Aprobarea Studiului de oportunitate </w:t>
      </w:r>
      <w:r>
        <w:rPr>
          <w:b/>
          <w:bCs/>
          <w:szCs w:val="24"/>
        </w:rPr>
        <w:t>nu generează cheltuieli directe</w:t>
      </w:r>
      <w:r>
        <w:rPr>
          <w:szCs w:val="24"/>
        </w:rPr>
        <w:t xml:space="preserve"> la momentul adoptării HCL. Studiul fundamentează însă cheltuieli viitoare:</w:t>
      </w:r>
    </w:p>
    <w:p w14:paraId="3D637DA0" w14:textId="77777777" w:rsidR="001C0619" w:rsidRDefault="00000000">
      <w:pPr>
        <w:numPr>
          <w:ilvl w:val="0"/>
          <w:numId w:val="17"/>
        </w:numPr>
      </w:pPr>
      <w:r>
        <w:rPr>
          <w:szCs w:val="24"/>
        </w:rPr>
        <w:t>contribuția anuală a UAT Buziaș la ADI TRANSTIMIȘ;</w:t>
      </w:r>
    </w:p>
    <w:p w14:paraId="2CD72570" w14:textId="4ACDFEA5" w:rsidR="001C0619" w:rsidRDefault="00000000">
      <w:pPr>
        <w:numPr>
          <w:ilvl w:val="0"/>
          <w:numId w:val="17"/>
        </w:numPr>
      </w:pPr>
      <w:r>
        <w:rPr>
          <w:szCs w:val="24"/>
        </w:rPr>
        <w:t xml:space="preserve">compensația de serviciu public (CSP) — diferența venit/cost </w:t>
      </w:r>
      <w:r w:rsidR="00AE754E">
        <w:rPr>
          <w:szCs w:val="24"/>
        </w:rPr>
        <w:t>și</w:t>
      </w:r>
      <w:r>
        <w:rPr>
          <w:szCs w:val="24"/>
        </w:rPr>
        <w:t xml:space="preserve"> profit rezonabil pentru operatorul Grupa 3;</w:t>
      </w:r>
    </w:p>
    <w:p w14:paraId="54C40A02" w14:textId="548F9BDF" w:rsidR="001C0619" w:rsidRDefault="00000000">
      <w:pPr>
        <w:numPr>
          <w:ilvl w:val="0"/>
          <w:numId w:val="17"/>
        </w:numPr>
      </w:pPr>
      <w:r>
        <w:rPr>
          <w:szCs w:val="24"/>
        </w:rPr>
        <w:t xml:space="preserve">decontarea diferențelor de tarif </w:t>
      </w:r>
    </w:p>
    <w:p w14:paraId="7FC0E423" w14:textId="77777777" w:rsidR="001C0619" w:rsidRDefault="00000000">
      <w:pPr>
        <w:numPr>
          <w:ilvl w:val="0"/>
          <w:numId w:val="17"/>
        </w:numPr>
      </w:pPr>
      <w:r>
        <w:rPr>
          <w:szCs w:val="24"/>
        </w:rPr>
        <w:t>cofinanțarea PNRR C10 (cota UAT Buziaș la achiziția microbuzelor electrice).</w:t>
      </w:r>
    </w:p>
    <w:p w14:paraId="25FD04C2" w14:textId="77777777" w:rsidR="001C0619" w:rsidRDefault="00000000">
      <w:pPr>
        <w:pStyle w:val="Titlu3"/>
      </w:pPr>
      <w:bookmarkStart w:id="16" w:name="iv.2.-surse-de-finanțare"/>
      <w:bookmarkEnd w:id="15"/>
      <w:r>
        <w:rPr>
          <w:rFonts w:ascii="Times New Roman" w:eastAsia="Times New Roman" w:hAnsi="Times New Roman" w:cs="Times New Roman"/>
        </w:rPr>
        <w:t>IV.2. Surse de finanțare</w:t>
      </w:r>
    </w:p>
    <w:p w14:paraId="76AC4BA2" w14:textId="77777777" w:rsidR="001C0619" w:rsidRDefault="00000000">
      <w:pPr>
        <w:numPr>
          <w:ilvl w:val="0"/>
          <w:numId w:val="18"/>
        </w:numPr>
      </w:pPr>
      <w:r>
        <w:rPr>
          <w:szCs w:val="24"/>
        </w:rPr>
        <w:t>Buget local UAT Buziaș (art. 35 Legea nr. 273/2006);</w:t>
      </w:r>
    </w:p>
    <w:p w14:paraId="4ADE78CB" w14:textId="77777777" w:rsidR="001C0619" w:rsidRDefault="00000000">
      <w:pPr>
        <w:numPr>
          <w:ilvl w:val="0"/>
          <w:numId w:val="18"/>
        </w:numPr>
      </w:pPr>
      <w:r>
        <w:rPr>
          <w:szCs w:val="24"/>
        </w:rPr>
        <w:t>Cote defalcate IVCS și sume de echilibrare;</w:t>
      </w:r>
    </w:p>
    <w:p w14:paraId="53CCCFCC" w14:textId="77777777" w:rsidR="001C0619" w:rsidRDefault="00000000">
      <w:pPr>
        <w:numPr>
          <w:ilvl w:val="0"/>
          <w:numId w:val="18"/>
        </w:numPr>
      </w:pPr>
      <w:r>
        <w:rPr>
          <w:szCs w:val="24"/>
        </w:rPr>
        <w:t>Fonduri externe — PNRR C10 (gestionate de MDLPA);</w:t>
      </w:r>
    </w:p>
    <w:p w14:paraId="734CACF5" w14:textId="28F79465" w:rsidR="001C0619" w:rsidRDefault="00000000">
      <w:pPr>
        <w:numPr>
          <w:ilvl w:val="0"/>
          <w:numId w:val="18"/>
        </w:numPr>
      </w:pPr>
      <w:r>
        <w:rPr>
          <w:szCs w:val="24"/>
        </w:rPr>
        <w:t xml:space="preserve">Venituri proprii </w:t>
      </w:r>
    </w:p>
    <w:p w14:paraId="5F9429C3" w14:textId="77777777" w:rsidR="001C0619" w:rsidRDefault="00000000">
      <w:pPr>
        <w:pStyle w:val="Titlu3"/>
      </w:pPr>
      <w:bookmarkStart w:id="17" w:name="iv.3.-aviz-cfp"/>
      <w:bookmarkEnd w:id="16"/>
      <w:r>
        <w:rPr>
          <w:rFonts w:ascii="Times New Roman" w:eastAsia="Times New Roman" w:hAnsi="Times New Roman" w:cs="Times New Roman"/>
        </w:rPr>
        <w:t>IV.3. Aviz CFP</w:t>
      </w:r>
    </w:p>
    <w:p w14:paraId="52131A4C" w14:textId="77777777" w:rsidR="001C0619" w:rsidRDefault="00000000">
      <w:r>
        <w:rPr>
          <w:szCs w:val="24"/>
        </w:rPr>
        <w:t>Toate operațiunile cu impact bugetar derivate din aplicarea Studiului de oportunitate vor fi supuse vizei de control financiar preventiv propriu (CFPP), conform Ord. MFP nr. 923/2014 republicat.</w:t>
      </w:r>
    </w:p>
    <w:p w14:paraId="41E4A422" w14:textId="77777777" w:rsidR="001C0619" w:rsidRDefault="00000000">
      <w:r>
        <w:rPr>
          <w:szCs w:val="24"/>
        </w:rPr>
        <w:pict w14:anchorId="3EEE1B4B">
          <v:rect id="_x0000_i1030" style="width:0;height:1.5pt" o:hralign="center" o:hrstd="t" o:hr="t"/>
        </w:pict>
      </w:r>
    </w:p>
    <w:p w14:paraId="7B7993F9" w14:textId="77777777" w:rsidR="001C0619" w:rsidRDefault="00000000">
      <w:pPr>
        <w:pStyle w:val="Titlu2"/>
      </w:pPr>
      <w:bookmarkStart w:id="18" w:name="v.-cvorum-și-majoritate"/>
      <w:bookmarkEnd w:id="14"/>
      <w:bookmarkEnd w:id="17"/>
      <w:r>
        <w:rPr>
          <w:rFonts w:ascii="Times New Roman" w:eastAsia="Times New Roman" w:hAnsi="Times New Roman" w:cs="Times New Roman"/>
        </w:rPr>
        <w:t>V. CVORUM ȘI MAJORITATE</w:t>
      </w:r>
    </w:p>
    <w:p w14:paraId="022EBFAE" w14:textId="77777777" w:rsidR="001C0619" w:rsidRDefault="00000000">
      <w:r>
        <w:rPr>
          <w:szCs w:val="24"/>
        </w:rPr>
        <w:t xml:space="preserve">Conform art. 139 alin. (3) lit. c) din OUG nr. 57/2019 — act cu impact bugetar — proiectul de hotărâre se adoptă cu </w:t>
      </w:r>
      <w:r>
        <w:rPr>
          <w:b/>
          <w:bCs/>
          <w:szCs w:val="24"/>
        </w:rPr>
        <w:t>majoritate absolută</w:t>
      </w:r>
      <w:r>
        <w:rPr>
          <w:szCs w:val="24"/>
        </w:rPr>
        <w:t xml:space="preserve"> (jumătate plus unu din numărul consilierilor în funcție).</w:t>
      </w:r>
    </w:p>
    <w:p w14:paraId="567C3261" w14:textId="77777777" w:rsidR="001C0619" w:rsidRDefault="00000000">
      <w:r>
        <w:rPr>
          <w:szCs w:val="24"/>
        </w:rPr>
        <w:pict w14:anchorId="4F99E3C3">
          <v:rect id="_x0000_i1031" style="width:0;height:1.5pt" o:hralign="center" o:hrstd="t" o:hr="t"/>
        </w:pict>
      </w:r>
    </w:p>
    <w:p w14:paraId="75A5879B" w14:textId="77777777" w:rsidR="001C0619" w:rsidRDefault="00000000">
      <w:pPr>
        <w:pStyle w:val="Titlu2"/>
      </w:pPr>
      <w:bookmarkStart w:id="19" w:name="vi.-concluzii-și-recomandare"/>
      <w:bookmarkEnd w:id="18"/>
      <w:r>
        <w:rPr>
          <w:rFonts w:ascii="Times New Roman" w:eastAsia="Times New Roman" w:hAnsi="Times New Roman" w:cs="Times New Roman"/>
        </w:rPr>
        <w:t>VI. CONCLUZII ȘI RECOMANDARE</w:t>
      </w:r>
    </w:p>
    <w:p w14:paraId="6A504A61" w14:textId="77777777" w:rsidR="001C0619" w:rsidRDefault="00000000">
      <w:r>
        <w:rPr>
          <w:szCs w:val="24"/>
        </w:rPr>
        <w:t>Analizând:</w:t>
      </w:r>
    </w:p>
    <w:p w14:paraId="25425BDC" w14:textId="09AA98A0" w:rsidR="001C0619" w:rsidRDefault="00000000">
      <w:pPr>
        <w:numPr>
          <w:ilvl w:val="0"/>
          <w:numId w:val="19"/>
        </w:numPr>
      </w:pPr>
      <w:r>
        <w:rPr>
          <w:b/>
          <w:bCs/>
          <w:szCs w:val="24"/>
        </w:rPr>
        <w:t>conformitatea juridică</w:t>
      </w:r>
      <w:r>
        <w:rPr>
          <w:szCs w:val="24"/>
        </w:rPr>
        <w:t xml:space="preserve"> a proiectului de hotărâre cu temeiul legal </w:t>
      </w:r>
    </w:p>
    <w:p w14:paraId="7DCABA9E" w14:textId="77777777" w:rsidR="001C0619" w:rsidRDefault="00000000">
      <w:pPr>
        <w:numPr>
          <w:ilvl w:val="0"/>
          <w:numId w:val="19"/>
        </w:numPr>
      </w:pPr>
      <w:r>
        <w:rPr>
          <w:b/>
          <w:bCs/>
          <w:szCs w:val="24"/>
        </w:rPr>
        <w:t>necesitatea imperativă</w:t>
      </w:r>
      <w:r>
        <w:rPr>
          <w:szCs w:val="24"/>
        </w:rPr>
        <w:t xml:space="preserve"> a Studiului de oportunitate ca document de fundamentare a HCL de delegare a gestiunii (art. 22 alin. (3) L. 51/2006; art. 23 L. 92/2007);</w:t>
      </w:r>
    </w:p>
    <w:p w14:paraId="65664C56" w14:textId="77777777" w:rsidR="001C0619" w:rsidRDefault="00000000">
      <w:pPr>
        <w:numPr>
          <w:ilvl w:val="0"/>
          <w:numId w:val="19"/>
        </w:numPr>
      </w:pPr>
      <w:r>
        <w:rPr>
          <w:b/>
          <w:bCs/>
          <w:szCs w:val="24"/>
        </w:rPr>
        <w:t>oportunitatea tehnico-economică</w:t>
      </w:r>
      <w:r>
        <w:rPr>
          <w:szCs w:val="24"/>
        </w:rPr>
        <w:t xml:space="preserve"> pentru UAT Orașul Buziaș (suportabilitate, eficiență, accesibilitate PNRR C10);</w:t>
      </w:r>
    </w:p>
    <w:p w14:paraId="208B72B5" w14:textId="77777777" w:rsidR="001C0619" w:rsidRDefault="00000000">
      <w:pPr>
        <w:numPr>
          <w:ilvl w:val="0"/>
          <w:numId w:val="19"/>
        </w:numPr>
      </w:pPr>
      <w:r>
        <w:rPr>
          <w:b/>
          <w:bCs/>
          <w:szCs w:val="24"/>
        </w:rPr>
        <w:t>conformitatea procedurală</w:t>
      </w:r>
      <w:r>
        <w:rPr>
          <w:szCs w:val="24"/>
        </w:rPr>
        <w:t xml:space="preserve"> cu OUG nr. 57/2019 (art. 136), Legea nr. 24/2000 și Legea nr. 52/2003;</w:t>
      </w:r>
    </w:p>
    <w:p w14:paraId="20BC6013" w14:textId="77777777" w:rsidR="001C0619" w:rsidRDefault="00000000">
      <w:pPr>
        <w:numPr>
          <w:ilvl w:val="0"/>
          <w:numId w:val="19"/>
        </w:numPr>
      </w:pPr>
      <w:r>
        <w:rPr>
          <w:b/>
          <w:bCs/>
          <w:szCs w:val="24"/>
        </w:rPr>
        <w:t>integrarea coerentă</w:t>
      </w:r>
      <w:r>
        <w:rPr>
          <w:szCs w:val="24"/>
        </w:rPr>
        <w:t xml:space="preserve"> cu mandatul ADI TRANSTIMIȘ și cu pachetul HCL Buziaș anterior și în adoptare;</w:t>
      </w:r>
    </w:p>
    <w:p w14:paraId="75BE75F7" w14:textId="77777777" w:rsidR="001C0619" w:rsidRDefault="00000000">
      <w:r>
        <w:rPr>
          <w:szCs w:val="24"/>
        </w:rPr>
        <w:t xml:space="preserve">Compartimentele de specialitate </w:t>
      </w:r>
      <w:r>
        <w:rPr>
          <w:b/>
          <w:bCs/>
          <w:szCs w:val="24"/>
        </w:rPr>
        <w:t>AVIZEAZĂ FAVORABIL</w:t>
      </w:r>
      <w:r>
        <w:rPr>
          <w:szCs w:val="24"/>
        </w:rPr>
        <w:t xml:space="preserve"> proiectul de hotărâre și </w:t>
      </w:r>
      <w:r>
        <w:rPr>
          <w:b/>
          <w:bCs/>
          <w:szCs w:val="24"/>
        </w:rPr>
        <w:t>RECOMANDĂ APROBAREA</w:t>
      </w:r>
      <w:r>
        <w:rPr>
          <w:szCs w:val="24"/>
        </w:rPr>
        <w:t xml:space="preserve"> acestuia de către Consiliul Local al Orașului Buziaș, cu </w:t>
      </w:r>
      <w:r>
        <w:rPr>
          <w:b/>
          <w:bCs/>
          <w:szCs w:val="24"/>
        </w:rPr>
        <w:t>majoritate absolută</w:t>
      </w:r>
      <w:r>
        <w:rPr>
          <w:szCs w:val="24"/>
        </w:rPr>
        <w:t xml:space="preserve">, sub rezerva obținerii avizului/punctului de vedere al </w:t>
      </w:r>
      <w:r>
        <w:rPr>
          <w:b/>
          <w:bCs/>
          <w:szCs w:val="24"/>
        </w:rPr>
        <w:t>Consiliului Concurenței</w:t>
      </w:r>
      <w:r>
        <w:rPr>
          <w:szCs w:val="24"/>
        </w:rPr>
        <w:t xml:space="preserve"> și a avizului de legalitate al Secretarului General al UAT.</w:t>
      </w:r>
    </w:p>
    <w:p w14:paraId="42EF3430" w14:textId="0F92AA8A" w:rsidR="001C0619" w:rsidRDefault="001C0619"/>
    <w:p w14:paraId="6DB1FB30" w14:textId="2497B8E0" w:rsidR="001C0619" w:rsidRDefault="001C0619"/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20" w:firstRow="1" w:lastRow="0" w:firstColumn="0" w:lastColumn="0" w:noHBand="0" w:noVBand="0"/>
      </w:tblPr>
      <w:tblGrid>
        <w:gridCol w:w="3304"/>
        <w:gridCol w:w="2740"/>
        <w:gridCol w:w="3301"/>
      </w:tblGrid>
      <w:tr w:rsidR="001C0619" w14:paraId="066A663A" w14:textId="77777777">
        <w:trPr>
          <w:trHeight w:val="300"/>
          <w:tblHeader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FE53E6" w14:textId="77777777" w:rsidR="001C0619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color w:val="FFFFFF"/>
                <w:sz w:val="20"/>
              </w:rPr>
              <w:t>Șef Serviciu Buget-Contabilitate-Finanțe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E59B50" w14:textId="77777777" w:rsidR="001C0619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color w:val="FFFFFF"/>
                <w:sz w:val="20"/>
              </w:rPr>
              <w:t>Șef Serviciu APL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12" w:space="0" w:color="000000"/>
              <w:right w:val="single" w:sz="4" w:space="0" w:color="808080"/>
            </w:tcBorders>
            <w:shd w:val="clear" w:color="auto" w:fill="2F549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84101A" w14:textId="77777777" w:rsidR="001C0619" w:rsidRDefault="00000000">
            <w:pPr>
              <w:spacing w:before="40" w:after="40"/>
              <w:ind w:firstLine="0"/>
              <w:jc w:val="center"/>
            </w:pPr>
            <w:r>
              <w:rPr>
                <w:b/>
                <w:bCs/>
                <w:color w:val="FFFFFF"/>
                <w:sz w:val="20"/>
              </w:rPr>
              <w:t>Inspector — Compartimentul Transport</w:t>
            </w:r>
          </w:p>
        </w:tc>
      </w:tr>
      <w:tr w:rsidR="001C0619" w14:paraId="724CA215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E07C10" w14:textId="77777777" w:rsidR="001C0619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Angelica HUDREA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94E696" w14:textId="77777777" w:rsidR="001C0619" w:rsidRDefault="00D02DB8">
            <w:pPr>
              <w:spacing w:before="40" w:after="4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Pentru Alina Simona SÂMAN</w:t>
            </w:r>
          </w:p>
          <w:p w14:paraId="56A58634" w14:textId="3920D361" w:rsidR="00D02DB8" w:rsidRDefault="00D02DB8">
            <w:pPr>
              <w:spacing w:before="40" w:after="4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Semnează consilier juridic </w:t>
            </w:r>
          </w:p>
          <w:p w14:paraId="5104461B" w14:textId="0F875A72" w:rsidR="00D02DB8" w:rsidRDefault="00D02DB8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Simona Pascu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0260E9" w14:textId="77777777" w:rsidR="001C0619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Horia CHIRUȚĂ</w:t>
            </w:r>
          </w:p>
        </w:tc>
      </w:tr>
      <w:tr w:rsidR="001C0619" w14:paraId="3D066F67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F2FEDD" w14:textId="77777777" w:rsidR="001C0619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2801E3" w14:textId="77777777" w:rsidR="001C0619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DD0B46" w14:textId="77777777" w:rsidR="001C0619" w:rsidRDefault="00000000">
            <w:pPr>
              <w:spacing w:before="40" w:after="40"/>
              <w:ind w:firstLine="0"/>
              <w:jc w:val="left"/>
            </w:pPr>
            <w:r>
              <w:rPr>
                <w:sz w:val="20"/>
              </w:rPr>
              <w:t>_________________________</w:t>
            </w:r>
          </w:p>
        </w:tc>
      </w:tr>
      <w:bookmarkEnd w:id="0"/>
      <w:bookmarkEnd w:id="19"/>
    </w:tbl>
    <w:p w14:paraId="3AEC9D75" w14:textId="77777777" w:rsidR="001C0619" w:rsidRDefault="001C0619"/>
    <w:p w14:paraId="5B77C84B" w14:textId="77777777" w:rsidR="00C14F49" w:rsidRDefault="00C14F49"/>
    <w:sectPr w:rsidR="00C14F49" w:rsidSect="00034616">
      <w:headerReference w:type="default" r:id="rId7"/>
      <w:footerReference w:type="default" r:id="rId8"/>
      <w:pgSz w:w="11906" w:h="16838"/>
      <w:pgMar w:top="1134" w:right="1134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71275" w14:textId="77777777" w:rsidR="00833CF8" w:rsidRDefault="00833CF8">
      <w:pPr>
        <w:spacing w:after="0" w:line="240" w:lineRule="auto"/>
      </w:pPr>
      <w:r>
        <w:separator/>
      </w:r>
    </w:p>
  </w:endnote>
  <w:endnote w:type="continuationSeparator" w:id="0">
    <w:p w14:paraId="0FFE7B34" w14:textId="77777777" w:rsidR="00833CF8" w:rsidRDefault="0083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37EBB" w14:textId="77777777" w:rsidR="001C0619" w:rsidRDefault="00000000">
    <w:pPr>
      <w:ind w:firstLine="0"/>
      <w:jc w:val="center"/>
    </w:pPr>
    <w:r>
      <w:rPr>
        <w:sz w:val="20"/>
      </w:rPr>
      <w:t xml:space="preserve">Pagina </w:t>
    </w:r>
    <w:r>
      <w:rPr>
        <w:sz w:val="20"/>
      </w:rPr>
      <w:fldChar w:fldCharType="begin"/>
    </w:r>
    <w:r>
      <w:rPr>
        <w:sz w:val="20"/>
      </w:rPr>
      <w:instrText>PAGE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din </w:t>
    </w:r>
    <w:r>
      <w:rPr>
        <w:sz w:val="20"/>
      </w:rPr>
      <w:fldChar w:fldCharType="begin"/>
    </w:r>
    <w:r>
      <w:rPr>
        <w:sz w:val="20"/>
      </w:rPr>
      <w:instrText>NUMPAGES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9F5D4" w14:textId="77777777" w:rsidR="00833CF8" w:rsidRDefault="00833CF8">
      <w:pPr>
        <w:spacing w:after="0" w:line="240" w:lineRule="auto"/>
      </w:pPr>
      <w:r>
        <w:separator/>
      </w:r>
    </w:p>
  </w:footnote>
  <w:footnote w:type="continuationSeparator" w:id="0">
    <w:p w14:paraId="54C090B4" w14:textId="77777777" w:rsidR="00833CF8" w:rsidRDefault="00833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BDD8" w14:textId="77777777" w:rsidR="001C0619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ROMÂNIA</w:t>
    </w:r>
  </w:p>
  <w:p w14:paraId="6B99EC9F" w14:textId="77777777" w:rsidR="001C0619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JUDEȚUL TIMIȘ</w:t>
    </w:r>
  </w:p>
  <w:p w14:paraId="0B1771D9" w14:textId="77777777" w:rsidR="001C0619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ORAȘUL BUZIAȘ</w:t>
    </w:r>
  </w:p>
  <w:p w14:paraId="1D773C78" w14:textId="77777777" w:rsidR="001C0619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PRIMĂRIA ORAȘULUI BUZIAȘ — Servicii de Specialitate</w:t>
    </w:r>
  </w:p>
  <w:p w14:paraId="025788A3" w14:textId="77777777" w:rsidR="001C0619" w:rsidRDefault="00000000">
    <w:pPr>
      <w:spacing w:after="0" w:line="240" w:lineRule="auto"/>
      <w:ind w:firstLine="0"/>
      <w:jc w:val="center"/>
    </w:pPr>
    <w:r>
      <w:rPr>
        <w:rFonts w:ascii="Arial" w:hAnsi="Arial"/>
        <w:i/>
        <w:sz w:val="16"/>
      </w:rPr>
      <w:t>Str. Principală nr. 16B, BUZIAȘ, JUD. TIMIȘ • Tel./Fax. 0256/321.450 • primbuzias@yahoo.com • www.primariabuzias.ro</w:t>
    </w:r>
  </w:p>
  <w:p w14:paraId="73217BCD" w14:textId="77777777" w:rsidR="001C0619" w:rsidRDefault="001C0619">
    <w:pPr>
      <w:pBdr>
        <w:bottom w:val="single" w:sz="8" w:space="1" w:color="000000"/>
      </w:pBdr>
      <w:spacing w:after="0" w:line="240" w:lineRule="auto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A990"/>
    <w:multiLevelType w:val="multilevel"/>
    <w:tmpl w:val="D9703A3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0" w15:restartNumberingAfterBreak="0">
    <w:nsid w:val="0000A991"/>
    <w:multiLevelType w:val="multilevel"/>
    <w:tmpl w:val="079C3EC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A99411"/>
    <w:multiLevelType w:val="multilevel"/>
    <w:tmpl w:val="25769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551237559">
    <w:abstractNumId w:val="8"/>
  </w:num>
  <w:num w:numId="2" w16cid:durableId="5258255">
    <w:abstractNumId w:val="6"/>
  </w:num>
  <w:num w:numId="3" w16cid:durableId="1378965469">
    <w:abstractNumId w:val="5"/>
  </w:num>
  <w:num w:numId="4" w16cid:durableId="1668483274">
    <w:abstractNumId w:val="4"/>
  </w:num>
  <w:num w:numId="5" w16cid:durableId="823164077">
    <w:abstractNumId w:val="7"/>
  </w:num>
  <w:num w:numId="6" w16cid:durableId="1950818819">
    <w:abstractNumId w:val="3"/>
  </w:num>
  <w:num w:numId="7" w16cid:durableId="1867130758">
    <w:abstractNumId w:val="2"/>
  </w:num>
  <w:num w:numId="8" w16cid:durableId="2107386152">
    <w:abstractNumId w:val="1"/>
  </w:num>
  <w:num w:numId="9" w16cid:durableId="1932228499">
    <w:abstractNumId w:val="0"/>
  </w:num>
  <w:num w:numId="10" w16cid:durableId="1200780387">
    <w:abstractNumId w:val="9"/>
  </w:num>
  <w:num w:numId="11" w16cid:durableId="662316735">
    <w:abstractNumId w:val="10"/>
  </w:num>
  <w:num w:numId="12" w16cid:durableId="647563341">
    <w:abstractNumId w:val="10"/>
  </w:num>
  <w:num w:numId="13" w16cid:durableId="290941562">
    <w:abstractNumId w:val="10"/>
  </w:num>
  <w:num w:numId="14" w16cid:durableId="1830291559">
    <w:abstractNumId w:val="10"/>
  </w:num>
  <w:num w:numId="15" w16cid:durableId="1534217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1106510">
    <w:abstractNumId w:val="10"/>
  </w:num>
  <w:num w:numId="17" w16cid:durableId="934632751">
    <w:abstractNumId w:val="10"/>
  </w:num>
  <w:num w:numId="18" w16cid:durableId="429392988">
    <w:abstractNumId w:val="10"/>
  </w:num>
  <w:num w:numId="19" w16cid:durableId="15254349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73358"/>
    <w:rsid w:val="001810EA"/>
    <w:rsid w:val="001A6085"/>
    <w:rsid w:val="001C0619"/>
    <w:rsid w:val="0022110C"/>
    <w:rsid w:val="00293C8B"/>
    <w:rsid w:val="0029639D"/>
    <w:rsid w:val="002F1EBF"/>
    <w:rsid w:val="00326F90"/>
    <w:rsid w:val="00460116"/>
    <w:rsid w:val="00546DA0"/>
    <w:rsid w:val="0062173A"/>
    <w:rsid w:val="00711BA9"/>
    <w:rsid w:val="00722930"/>
    <w:rsid w:val="007A1A7F"/>
    <w:rsid w:val="00833CF8"/>
    <w:rsid w:val="00AA1D8D"/>
    <w:rsid w:val="00AE754E"/>
    <w:rsid w:val="00B47730"/>
    <w:rsid w:val="00BF132E"/>
    <w:rsid w:val="00C14F49"/>
    <w:rsid w:val="00C4156A"/>
    <w:rsid w:val="00CA718D"/>
    <w:rsid w:val="00CB0664"/>
    <w:rsid w:val="00D02DB8"/>
    <w:rsid w:val="00D33660"/>
    <w:rsid w:val="00D75F22"/>
    <w:rsid w:val="00DE5D68"/>
    <w:rsid w:val="00EA4BAA"/>
    <w:rsid w:val="00F209B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B0349E"/>
  <w15:docId w15:val="{3C2C6523-49CC-475A-8411-C8FFC47A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/>
      <w:ind w:firstLine="70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360"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4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12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120" w:after="60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1517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Vlada</dc:creator>
  <cp:keywords/>
  <cp:lastModifiedBy>Cristina Vlada</cp:lastModifiedBy>
  <cp:revision>27</cp:revision>
  <dcterms:created xsi:type="dcterms:W3CDTF">2026-05-25T10:57:00Z</dcterms:created>
  <dcterms:modified xsi:type="dcterms:W3CDTF">2026-05-28T15:51:00Z</dcterms:modified>
</cp:coreProperties>
</file>